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6部分：病虫害防控"/>
            </w:textInput>
          </w:ffData>
        </w:fldChar>
      </w:r>
      <w:bookmarkStart w:id="9" w:name="CSTD_NAME"/>
      <w:r>
        <w:instrText xml:space="preserve"> FORMTEXT </w:instrText>
      </w:r>
      <w:r>
        <w:fldChar w:fldCharType="separate"/>
      </w:r>
      <w:r>
        <w:t>猕猴桃生产 第6部分：病虫害防控</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本文件由陕西省农业农村厅提出并归口。</w:t>
      </w:r>
    </w:p>
    <w:p>
      <w:pPr>
        <w:pStyle w:val="62"/>
        <w:ind w:firstLine="420"/>
      </w:pPr>
      <w:r>
        <w:rPr>
          <w:rFonts w:hint="eastAsia"/>
        </w:rPr>
        <w:t>本文件起草单位：陕西省果业中心、西北农林科技大学、眉县农业农村局、</w:t>
      </w:r>
      <w:bookmarkStart w:id="22" w:name="_Hlk188449321"/>
      <w:r>
        <w:rPr>
          <w:rFonts w:hint="eastAsia"/>
        </w:rPr>
        <w:t>汉中市农业技术推广与培训中心、城固县果业局、安康市农业科学研究院、临渭区果业发展中心、商洛市特色产业与休闲农业指导中心、杨凌梦绿生态农业有限责任公司</w:t>
      </w:r>
      <w:bookmarkEnd w:id="22"/>
      <w:r>
        <w:rPr>
          <w:rFonts w:hint="eastAsia"/>
        </w:rPr>
        <w:t>。</w:t>
      </w:r>
    </w:p>
    <w:p>
      <w:pPr>
        <w:pStyle w:val="62"/>
        <w:ind w:firstLine="420"/>
      </w:pPr>
      <w:r>
        <w:rPr>
          <w:rFonts w:hint="eastAsia"/>
        </w:rPr>
        <w:t>本文件主要起草人：</w:t>
      </w:r>
      <w:r>
        <w:rPr>
          <w:rFonts w:hint="eastAsia"/>
          <w:lang w:eastAsia="zh-CN"/>
        </w:rPr>
        <w:t>杨建伟、</w:t>
      </w:r>
      <w:r>
        <w:rPr>
          <w:rFonts w:hint="eastAsia"/>
        </w:rPr>
        <w:t>刘占德、刘艳飞、李建军、贺浩浩、屈学农、姚春潮、王国军、衡涛、谢利华、唐晓东、史孟凡、许云鹏、闫雷玉、</w:t>
      </w:r>
      <w:bookmarkStart w:id="49" w:name="_GoBack"/>
      <w:bookmarkEnd w:id="49"/>
      <w:r>
        <w:rPr>
          <w:rFonts w:hint="eastAsia"/>
        </w:rPr>
        <w:t>孟红志、张浩、高志雄。</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4" w:name="NEW_STAND_NAME"/>
          <w:r>
            <w:rPr>
              <w:rFonts w:hint="eastAsia"/>
            </w:rPr>
            <w:t>猕猴桃生产 第</w:t>
          </w:r>
          <w:r>
            <w:t>6</w:t>
          </w:r>
          <w:r>
            <w:rPr>
              <w:rFonts w:hint="eastAsia"/>
            </w:rPr>
            <w:t>部分：病虫害防控</w:t>
          </w:r>
        </w:p>
      </w:sdtContent>
    </w:sdt>
    <w:bookmarkEnd w:id="24"/>
    <w:p>
      <w:pPr>
        <w:pStyle w:val="109"/>
        <w:spacing w:before="312" w:after="312"/>
      </w:pPr>
      <w:bookmarkStart w:id="25" w:name="_Toc26986771"/>
      <w:bookmarkStart w:id="26" w:name="_Toc26648465"/>
      <w:bookmarkStart w:id="27" w:name="_Toc26718930"/>
      <w:bookmarkStart w:id="28" w:name="_Toc24884218"/>
      <w:bookmarkStart w:id="29" w:name="_Toc97191423"/>
      <w:bookmarkStart w:id="30" w:name="_Toc17233325"/>
      <w:bookmarkStart w:id="31" w:name="_Toc17233333"/>
      <w:bookmarkStart w:id="32" w:name="_Toc26986530"/>
      <w:bookmarkStart w:id="33" w:name="_Toc24884211"/>
      <w:r>
        <w:rPr>
          <w:rFonts w:hint="eastAsia"/>
        </w:rPr>
        <w:t>范围</w:t>
      </w:r>
      <w:bookmarkEnd w:id="25"/>
      <w:bookmarkEnd w:id="26"/>
      <w:bookmarkEnd w:id="27"/>
      <w:bookmarkEnd w:id="28"/>
      <w:bookmarkEnd w:id="29"/>
      <w:bookmarkEnd w:id="30"/>
      <w:bookmarkEnd w:id="31"/>
      <w:bookmarkEnd w:id="32"/>
      <w:bookmarkEnd w:id="33"/>
    </w:p>
    <w:p>
      <w:pPr>
        <w:pStyle w:val="62"/>
        <w:ind w:firstLine="420"/>
      </w:pPr>
      <w:bookmarkStart w:id="34" w:name="_Toc24884212"/>
      <w:bookmarkStart w:id="35" w:name="_Toc17233326"/>
      <w:bookmarkStart w:id="36" w:name="_Toc26648466"/>
      <w:bookmarkStart w:id="37" w:name="_Toc17233334"/>
      <w:bookmarkStart w:id="38" w:name="_Toc24884219"/>
      <w:r>
        <w:rPr>
          <w:rFonts w:hint="eastAsia"/>
        </w:rPr>
        <w:t>本文件规定了猕猴桃主要病虫害防控技术的术语和定义、防控对象、绿色防控技术措施。</w:t>
      </w:r>
    </w:p>
    <w:p>
      <w:pPr>
        <w:pStyle w:val="62"/>
        <w:ind w:firstLine="420"/>
      </w:pPr>
      <w:r>
        <w:rPr>
          <w:rFonts w:hint="eastAsia"/>
        </w:rPr>
        <w:t>本文件适用于陕西省猕猴桃产区主要病虫害的绿色防控。</w:t>
      </w:r>
    </w:p>
    <w:p>
      <w:pPr>
        <w:pStyle w:val="109"/>
        <w:spacing w:before="312" w:after="312"/>
      </w:pPr>
      <w:bookmarkStart w:id="39" w:name="_Toc97191424"/>
      <w:bookmarkStart w:id="40" w:name="_Toc26718931"/>
      <w:bookmarkStart w:id="41" w:name="_Toc26986772"/>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rPr>
      </w:pPr>
      <w:bookmarkStart w:id="43" w:name="_Toc97191425"/>
      <w:r>
        <w:rPr>
          <w:rFonts w:ascii="Times New Roman" w:hAnsi="Times New Roman"/>
          <w:color w:val="000000"/>
          <w:kern w:val="0"/>
        </w:rPr>
        <w:t>NY/T 393-2020 《绿色食品农药使用准则》</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kern w:val="0"/>
        </w:rPr>
      </w:pPr>
      <w:r>
        <w:rPr>
          <w:rFonts w:ascii="Times New Roman" w:hAnsi="Times New Roman"/>
          <w:color w:val="000000"/>
          <w:kern w:val="0"/>
        </w:rPr>
        <w:t>NY/T 3861 《猕猴桃主要病虫害防治技术规程》</w:t>
      </w:r>
    </w:p>
    <w:p>
      <w:pPr>
        <w:pStyle w:val="109"/>
        <w:spacing w:before="312" w:after="312"/>
      </w:pPr>
      <w:r>
        <w:rPr>
          <w:rFonts w:hint="eastAsia"/>
          <w:szCs w:val="21"/>
        </w:rPr>
        <w:t>术语和定义</w:t>
      </w:r>
      <w:bookmarkEnd w:id="43"/>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本文件没有需要界定的术语和定义。</w:t>
          </w:r>
        </w:p>
      </w:sdtContent>
    </w:sdt>
    <w:bookmarkEnd w:id="23"/>
    <w:p>
      <w:pPr>
        <w:pStyle w:val="109"/>
        <w:spacing w:before="312" w:after="312"/>
        <w:rPr>
          <w:szCs w:val="21"/>
        </w:rPr>
      </w:pPr>
      <w:bookmarkStart w:id="44" w:name="BookMark8"/>
      <w:bookmarkStart w:id="45" w:name="BookMark5"/>
      <w:r>
        <w:rPr>
          <w:szCs w:val="21"/>
        </w:rPr>
        <w:t>防控对象</w:t>
      </w:r>
    </w:p>
    <w:p>
      <w:pPr>
        <w:pStyle w:val="110"/>
        <w:spacing w:before="156" w:after="156"/>
      </w:pPr>
      <w:r>
        <w:t>主要病害</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rPr>
      </w:pPr>
      <w:r>
        <w:rPr>
          <w:rFonts w:ascii="Times New Roman" w:hAnsi="Times New Roman"/>
          <w:color w:val="000000"/>
        </w:rPr>
        <w:t>猕猴桃溃疡病、花腐病、褐斑病、根腐病、蒂腐病、炭疽病、灰霉病、病毒病</w:t>
      </w:r>
      <w:r>
        <w:rPr>
          <w:rFonts w:hint="eastAsia" w:ascii="Times New Roman" w:hAnsi="Times New Roman"/>
          <w:color w:val="000000"/>
        </w:rPr>
        <w:t>、根结线虫病</w:t>
      </w:r>
      <w:r>
        <w:rPr>
          <w:rFonts w:ascii="Times New Roman" w:hAnsi="Times New Roman"/>
          <w:color w:val="000000"/>
        </w:rPr>
        <w:t>等。</w:t>
      </w:r>
    </w:p>
    <w:p>
      <w:pPr>
        <w:pStyle w:val="110"/>
        <w:spacing w:before="156" w:after="156"/>
      </w:pPr>
      <w:r>
        <w:t>主要虫害</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rPr>
      </w:pPr>
      <w:r>
        <w:rPr>
          <w:rFonts w:ascii="Times New Roman" w:hAnsi="Times New Roman"/>
          <w:color w:val="000000"/>
        </w:rPr>
        <w:t>金龟子、小薪甲、介壳虫、蝽</w:t>
      </w:r>
      <w:r>
        <w:rPr>
          <w:rFonts w:hint="eastAsia" w:ascii="Times New Roman" w:hAnsi="Times New Roman"/>
          <w:color w:val="000000"/>
        </w:rPr>
        <w:t>蟓</w:t>
      </w:r>
      <w:r>
        <w:rPr>
          <w:rFonts w:ascii="Times New Roman" w:hAnsi="Times New Roman"/>
          <w:color w:val="000000"/>
        </w:rPr>
        <w:t>、叶蝉、红蜘蛛、斜纹夜蛾、小地老虎、蜡蝉等。</w:t>
      </w:r>
    </w:p>
    <w:p>
      <w:pPr>
        <w:pStyle w:val="109"/>
        <w:spacing w:before="312" w:after="312"/>
        <w:rPr>
          <w:szCs w:val="21"/>
        </w:rPr>
      </w:pPr>
      <w:r>
        <w:rPr>
          <w:szCs w:val="21"/>
        </w:rPr>
        <w:t>防控技术</w:t>
      </w:r>
    </w:p>
    <w:p>
      <w:pPr>
        <w:pStyle w:val="110"/>
        <w:spacing w:before="156" w:after="156"/>
      </w:pPr>
      <w:r>
        <w:rPr>
          <w:rFonts w:hint="eastAsia"/>
        </w:rPr>
        <w:t>植物检疫</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rPr>
      </w:pPr>
      <w:r>
        <w:rPr>
          <w:rFonts w:hint="eastAsia"/>
          <w:color w:val="000000" w:themeColor="text1"/>
          <w14:textFill>
            <w14:solidFill>
              <w14:schemeClr w14:val="tx1"/>
            </w14:solidFill>
          </w14:textFill>
        </w:rPr>
        <w:t>调运苗木、接穗和花粉等应严格检疫</w:t>
      </w:r>
      <w:r>
        <w:rPr>
          <w:rFonts w:hint="eastAsia" w:ascii="Times New Roman" w:hAnsi="Times New Roman"/>
          <w:color w:val="000000"/>
        </w:rPr>
        <w:t>。</w:t>
      </w:r>
    </w:p>
    <w:p>
      <w:pPr>
        <w:pStyle w:val="110"/>
        <w:spacing w:before="156" w:after="156"/>
      </w:pPr>
      <w:r>
        <w:rPr>
          <w:rFonts w:hint="eastAsia"/>
        </w:rPr>
        <w:t>冬季清园</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color w:val="000000"/>
        </w:rPr>
      </w:pPr>
      <w:r>
        <w:rPr>
          <w:rFonts w:ascii="Times New Roman" w:hAnsi="Times New Roman"/>
          <w:color w:val="000000"/>
        </w:rPr>
        <w:t>园地内病残枝条、花果的清理</w:t>
      </w:r>
      <w:r>
        <w:rPr>
          <w:rFonts w:hint="eastAsia" w:ascii="Times New Roman" w:hAnsi="Times New Roman"/>
          <w:color w:val="000000"/>
        </w:rPr>
        <w:t>，</w:t>
      </w:r>
      <w:r>
        <w:rPr>
          <w:rFonts w:ascii="Times New Roman" w:hAnsi="Times New Roman"/>
          <w:color w:val="000000"/>
        </w:rPr>
        <w:t>按照NY/T 3861执行</w:t>
      </w:r>
      <w:r>
        <w:rPr>
          <w:rFonts w:hint="eastAsia" w:ascii="Times New Roman" w:hAnsi="Times New Roman"/>
          <w:color w:val="000000"/>
        </w:rPr>
        <w:t>。</w:t>
      </w:r>
    </w:p>
    <w:p>
      <w:pPr>
        <w:pStyle w:val="110"/>
        <w:spacing w:before="156" w:after="156"/>
      </w:pPr>
      <w:r>
        <w:rPr>
          <w:rFonts w:hint="eastAsia"/>
        </w:rPr>
        <w:t>物理防治</w:t>
      </w:r>
    </w:p>
    <w:p>
      <w:pPr>
        <w:pStyle w:val="71"/>
        <w:spacing w:before="156" w:after="156"/>
        <w:ind w:left="0"/>
      </w:pPr>
      <w:r>
        <w:rPr>
          <w:rFonts w:hint="eastAsia"/>
        </w:rPr>
        <w:t>人工捕杀</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放置用保暖材料制作的诱捕器诱杀蝽类害虫；用钢丝刷、竹刷、草把等刷除主干主枝上桑白蚧若虫，抹杀斑衣蜡蝉卵块；傍晚振动树体拾杀金龟子成虫。</w:t>
      </w:r>
    </w:p>
    <w:p>
      <w:pPr>
        <w:pStyle w:val="71"/>
        <w:spacing w:before="156" w:after="156"/>
        <w:ind w:left="0"/>
      </w:pPr>
      <w:r>
        <w:rPr>
          <w:rFonts w:hint="eastAsia"/>
        </w:rPr>
        <w:t>诱杀</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 xml:space="preserve">依据虫情测报，在果园安装1盏/（1 </w:t>
      </w:r>
      <w:r>
        <w:rPr>
          <w:rFonts w:hint="eastAsia" w:ascii="Times New Roman" w:hAnsi="Times New Roman"/>
          <w:color w:val="000000"/>
          <w:kern w:val="0"/>
          <w:sz w:val="24"/>
          <w:szCs w:val="24"/>
        </w:rPr>
        <w:t>~</w:t>
      </w:r>
      <w:r>
        <w:rPr>
          <w:rFonts w:hint="eastAsia" w:ascii="宋体" w:hAnsi="Times New Roman"/>
          <w:color w:val="000000"/>
          <w:kern w:val="0"/>
          <w:szCs w:val="20"/>
        </w:rPr>
        <w:t>2）hm</w:t>
      </w:r>
      <w:r>
        <w:rPr>
          <w:rFonts w:ascii="宋体" w:hAnsi="Times New Roman"/>
          <w:color w:val="000000"/>
          <w:kern w:val="0"/>
          <w:szCs w:val="20"/>
          <w:vertAlign w:val="superscript"/>
        </w:rPr>
        <w:t>2</w:t>
      </w:r>
      <w:r>
        <w:rPr>
          <w:rFonts w:hint="eastAsia" w:ascii="宋体" w:hAnsi="Times New Roman"/>
          <w:color w:val="000000"/>
          <w:kern w:val="0"/>
          <w:szCs w:val="20"/>
        </w:rPr>
        <w:t>杀虫灯，从萌芽展叶期开始，开灯诱杀金龟甲、叶蝉、夜蛾等害虫：萌芽展叶期，在果园悬挂20</w:t>
      </w:r>
      <w:r>
        <w:rPr>
          <w:rFonts w:ascii="宋体" w:hAnsi="Times New Roman"/>
          <w:color w:val="000000"/>
          <w:kern w:val="0"/>
          <w:szCs w:val="20"/>
        </w:rPr>
        <w:t xml:space="preserve"> </w:t>
      </w:r>
      <w:r>
        <w:rPr>
          <w:rFonts w:hint="eastAsia" w:ascii="宋体" w:hAnsi="Times New Roman"/>
          <w:color w:val="000000"/>
          <w:kern w:val="0"/>
          <w:szCs w:val="20"/>
        </w:rPr>
        <w:t>cm×25</w:t>
      </w:r>
      <w:r>
        <w:rPr>
          <w:rFonts w:ascii="宋体" w:hAnsi="Times New Roman"/>
          <w:color w:val="000000"/>
          <w:kern w:val="0"/>
          <w:szCs w:val="20"/>
        </w:rPr>
        <w:t xml:space="preserve"> </w:t>
      </w:r>
      <w:r>
        <w:rPr>
          <w:rFonts w:hint="eastAsia" w:ascii="宋体" w:hAnsi="Times New Roman"/>
          <w:color w:val="000000"/>
          <w:kern w:val="0"/>
          <w:szCs w:val="20"/>
        </w:rPr>
        <w:t>cm黄色粘虫板(20</w:t>
      </w:r>
      <w:r>
        <w:rPr>
          <w:rFonts w:hint="eastAsia" w:ascii="Times New Roman" w:hAnsi="Times New Roman"/>
          <w:color w:val="000000"/>
          <w:kern w:val="0"/>
          <w:sz w:val="24"/>
          <w:szCs w:val="24"/>
        </w:rPr>
        <w:t>~</w:t>
      </w:r>
      <w:r>
        <w:rPr>
          <w:rFonts w:hint="eastAsia" w:ascii="宋体" w:hAnsi="Times New Roman"/>
          <w:color w:val="000000"/>
          <w:kern w:val="0"/>
          <w:szCs w:val="20"/>
        </w:rPr>
        <w:t>25)张/667</w:t>
      </w:r>
      <w:r>
        <w:rPr>
          <w:rFonts w:ascii="宋体" w:hAnsi="Times New Roman"/>
          <w:color w:val="000000"/>
          <w:kern w:val="0"/>
          <w:szCs w:val="20"/>
        </w:rPr>
        <w:t xml:space="preserve"> </w:t>
      </w:r>
      <w:r>
        <w:rPr>
          <w:rFonts w:hint="eastAsia" w:ascii="宋体" w:hAnsi="Times New Roman"/>
          <w:color w:val="000000"/>
          <w:kern w:val="0"/>
          <w:szCs w:val="20"/>
        </w:rPr>
        <w:t>m</w:t>
      </w:r>
      <w:r>
        <w:rPr>
          <w:rFonts w:hint="eastAsia" w:ascii="宋体" w:hAnsi="Times New Roman"/>
          <w:color w:val="000000"/>
          <w:kern w:val="0"/>
          <w:szCs w:val="20"/>
          <w:vertAlign w:val="superscript"/>
        </w:rPr>
        <w:t>2</w:t>
      </w:r>
      <w:r>
        <w:rPr>
          <w:rFonts w:hint="eastAsia" w:ascii="宋体" w:hAnsi="Times New Roman"/>
          <w:color w:val="000000"/>
          <w:kern w:val="0"/>
          <w:szCs w:val="20"/>
        </w:rPr>
        <w:t>诱杀叶蝉等害虫并及时更换，或悬挂糖醋液或聚集素或性信息素诱杀金龟甲、叶蝉及蛾类、蝽象类害虫等。</w:t>
      </w:r>
    </w:p>
    <w:p>
      <w:pPr>
        <w:pStyle w:val="71"/>
        <w:spacing w:before="156" w:after="156"/>
        <w:ind w:left="0"/>
      </w:pPr>
      <w:r>
        <w:rPr>
          <w:rFonts w:hint="eastAsia"/>
        </w:rPr>
        <w:t>防虫网</w:t>
      </w:r>
    </w:p>
    <w:p>
      <w:pPr>
        <w:widowControl/>
        <w:autoSpaceDE w:val="0"/>
        <w:autoSpaceDN w:val="0"/>
        <w:adjustRightInd/>
        <w:spacing w:line="240" w:lineRule="auto"/>
        <w:ind w:firstLine="420" w:firstLineChars="200"/>
        <w:rPr>
          <w:rFonts w:ascii="宋体" w:hAnsi="Times New Roman"/>
          <w:color w:val="000000"/>
          <w:kern w:val="0"/>
          <w:szCs w:val="20"/>
          <w:highlight w:val="yellow"/>
        </w:rPr>
      </w:pPr>
      <w:r>
        <w:rPr>
          <w:rFonts w:hint="eastAsia" w:ascii="宋体" w:hAnsi="Times New Roman"/>
          <w:color w:val="000000"/>
          <w:kern w:val="0"/>
          <w:szCs w:val="20"/>
        </w:rPr>
        <w:t>设施栽培园地，应在四周通风口处悬挂80目防虫网。</w:t>
      </w:r>
    </w:p>
    <w:p>
      <w:pPr>
        <w:pStyle w:val="110"/>
        <w:spacing w:before="156" w:after="156"/>
      </w:pPr>
      <w:r>
        <w:rPr>
          <w:rFonts w:hint="eastAsia"/>
        </w:rPr>
        <w:t>生物防治</w:t>
      </w:r>
    </w:p>
    <w:p>
      <w:pPr>
        <w:pStyle w:val="71"/>
        <w:spacing w:before="156" w:after="156"/>
        <w:ind w:left="0"/>
      </w:pPr>
      <w:r>
        <w:rPr>
          <w:rFonts w:hint="eastAsia"/>
        </w:rPr>
        <w:t>释放天敌</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当果园每叶叶螨达到2头时，在树干阴面挂1袋/株捕食螨。</w:t>
      </w:r>
      <w:r>
        <w:rPr>
          <w:rFonts w:ascii="宋体" w:hAnsi="Times New Roman"/>
          <w:color w:val="000000"/>
          <w:kern w:val="0"/>
          <w:szCs w:val="20"/>
        </w:rPr>
        <w:t>6</w:t>
      </w:r>
      <w:r>
        <w:rPr>
          <w:rFonts w:hint="eastAsia" w:ascii="宋体" w:hAnsi="Times New Roman"/>
          <w:color w:val="000000"/>
          <w:kern w:val="0"/>
          <w:szCs w:val="20"/>
        </w:rPr>
        <w:t>月上旬至8月上旬茶翅蝽卵期，释放茶翅蝽沟卵蜂1000头/667</w:t>
      </w:r>
      <w:r>
        <w:rPr>
          <w:rFonts w:ascii="宋体" w:hAnsi="Times New Roman"/>
          <w:color w:val="000000"/>
          <w:kern w:val="0"/>
          <w:szCs w:val="20"/>
        </w:rPr>
        <w:t xml:space="preserve"> </w:t>
      </w:r>
      <w:r>
        <w:rPr>
          <w:rFonts w:hint="eastAsia" w:ascii="宋体" w:hAnsi="Times New Roman"/>
          <w:color w:val="000000"/>
          <w:kern w:val="0"/>
          <w:szCs w:val="20"/>
        </w:rPr>
        <w:t>m</w:t>
      </w:r>
      <w:r>
        <w:rPr>
          <w:rFonts w:ascii="宋体" w:hAnsi="Times New Roman"/>
          <w:color w:val="000000"/>
          <w:kern w:val="0"/>
          <w:szCs w:val="20"/>
          <w:vertAlign w:val="superscript"/>
        </w:rPr>
        <w:t>2</w:t>
      </w:r>
      <w:r>
        <w:rPr>
          <w:rFonts w:hint="eastAsia" w:ascii="宋体" w:hAnsi="Times New Roman"/>
          <w:color w:val="000000"/>
          <w:kern w:val="0"/>
          <w:szCs w:val="20"/>
        </w:rPr>
        <w:t>。</w:t>
      </w:r>
    </w:p>
    <w:p>
      <w:pPr>
        <w:pStyle w:val="71"/>
        <w:spacing w:before="156" w:after="156"/>
        <w:ind w:left="0"/>
      </w:pPr>
      <w:r>
        <w:rPr>
          <w:rFonts w:hint="eastAsia"/>
        </w:rPr>
        <w:t>保护利用天敌</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果园生草，保护利用瓢虫、草蛉、捕食螨、蜘蛛、寄生蜂等自然天敌。</w:t>
      </w:r>
    </w:p>
    <w:p>
      <w:pPr>
        <w:pStyle w:val="71"/>
        <w:spacing w:before="156" w:after="156"/>
        <w:ind w:left="0"/>
      </w:pPr>
      <w:r>
        <w:rPr>
          <w:rFonts w:hint="eastAsia"/>
        </w:rPr>
        <w:t>生物农药</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病虫害防治宜采用Bt、天然除虫菊素等生物制剂。</w:t>
      </w:r>
    </w:p>
    <w:p>
      <w:pPr>
        <w:pStyle w:val="110"/>
        <w:spacing w:before="156" w:after="156"/>
      </w:pPr>
      <w:r>
        <w:rPr>
          <w:rFonts w:hint="eastAsia"/>
        </w:rPr>
        <w:t>科学安全用药</w:t>
      </w:r>
    </w:p>
    <w:p>
      <w:pPr>
        <w:widowControl/>
        <w:adjustRightInd/>
        <w:spacing w:before="156" w:beforeLines="50" w:after="156" w:afterLines="50" w:line="360" w:lineRule="exact"/>
        <w:ind w:firstLine="420" w:firstLineChars="200"/>
        <w:jc w:val="left"/>
        <w:outlineLvl w:val="2"/>
        <w:rPr>
          <w:color w:val="000000"/>
        </w:rPr>
      </w:pPr>
      <w:r>
        <w:rPr>
          <w:rFonts w:hint="eastAsia"/>
          <w:color w:val="000000"/>
        </w:rPr>
        <w:t>用药应符合NY/T 393-2020。生长期病虫防治用药参照附录</w:t>
      </w:r>
      <w:r>
        <w:rPr>
          <w:color w:val="000000"/>
        </w:rPr>
        <w:t>B</w:t>
      </w:r>
      <w:r>
        <w:rPr>
          <w:rFonts w:hint="eastAsia"/>
          <w:color w:val="000000"/>
        </w:rPr>
        <w:t>、附录</w:t>
      </w:r>
      <w:r>
        <w:rPr>
          <w:color w:val="000000"/>
        </w:rPr>
        <w:t>C</w:t>
      </w:r>
      <w:r>
        <w:rPr>
          <w:rFonts w:hint="eastAsia"/>
          <w:color w:val="000000"/>
        </w:rPr>
        <w:t>，禁用药剂参见附录</w:t>
      </w:r>
      <w:r>
        <w:rPr>
          <w:color w:val="000000"/>
        </w:rPr>
        <w:t>D</w:t>
      </w:r>
      <w:r>
        <w:rPr>
          <w:rFonts w:hint="eastAsia"/>
          <w:color w:val="000000"/>
        </w:rPr>
        <w:t>。</w:t>
      </w:r>
    </w:p>
    <w:p>
      <w:pPr>
        <w:widowControl/>
        <w:adjustRightInd/>
        <w:spacing w:line="240" w:lineRule="auto"/>
        <w:jc w:val="left"/>
        <w:rPr>
          <w:color w:val="000000"/>
        </w:rPr>
      </w:pPr>
      <w:r>
        <w:rPr>
          <w:color w:val="000000"/>
        </w:rPr>
        <w:br w:type="page"/>
      </w:r>
    </w:p>
    <w:p>
      <w:pPr>
        <w:pStyle w:val="82"/>
        <w:spacing w:after="156"/>
      </w:pPr>
      <w:r>
        <w:br w:type="textWrapping"/>
      </w:r>
      <w:r>
        <w:rPr>
          <w:rFonts w:hint="eastAsia"/>
        </w:rPr>
        <w:t>（规范性）</w:t>
      </w:r>
      <w:r>
        <w:br w:type="textWrapping"/>
      </w:r>
      <w:r>
        <w:rPr>
          <w:rFonts w:hint="eastAsia"/>
        </w:rPr>
        <w:t>猕猴桃全年生产建议用药</w:t>
      </w:r>
    </w:p>
    <w:p>
      <w:pPr>
        <w:pStyle w:val="83"/>
        <w:spacing w:before="156" w:after="156"/>
      </w:pPr>
      <w:bookmarkStart w:id="46" w:name="_Hlk183197716"/>
      <w:bookmarkStart w:id="47" w:name="_Hlk183197431"/>
      <w:r>
        <w:rPr>
          <w:rFonts w:hint="eastAsia"/>
        </w:rPr>
        <w:t>猕猴桃全年生产建议用药</w:t>
      </w:r>
      <w:bookmarkEnd w:id="46"/>
    </w:p>
    <w:tbl>
      <w:tblPr>
        <w:tblStyle w:val="36"/>
        <w:tblW w:w="9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366"/>
        <w:gridCol w:w="986"/>
        <w:gridCol w:w="218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时间</w:t>
            </w:r>
          </w:p>
        </w:tc>
        <w:tc>
          <w:tcPr>
            <w:tcW w:w="136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物候期</w:t>
            </w: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防治对象</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有效成分</w:t>
            </w:r>
          </w:p>
        </w:tc>
        <w:tc>
          <w:tcPr>
            <w:tcW w:w="354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3月～4月</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萌芽-开花期</w:t>
            </w: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蚧壳虫</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螺虫乙酯</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叶面积足够大时，在临近开花期喷施农药，以在花前很好的控制蚧壳虫的第一代若虫。噻虫嗪对刺吸式害虫效果显著。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蝽橡</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噻虫嗪</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高效氯氟氰菊酯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小薪甲</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联苯菊酯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花腐病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溃疡病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叶斑病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恶唑菌酮+代森锰锌</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控制溃疡病最好的方法是将感病材料移出果园；连阴雨前施用可有效的防止叶斑和花腐；可以在花前和农用链霉素交替使用。最大使用次数为2次，以避免产生抗性。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氢氧化铜</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嘧菌酯.百菌清</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代森锰锌</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hint="eastAsia" w:ascii="宋体" w:hAnsi="宋体"/>
                <w:color w:val="000000"/>
                <w:kern w:val="0"/>
                <w:sz w:val="18"/>
                <w:szCs w:val="18"/>
              </w:rPr>
              <w:t>中生菌素</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hint="eastAsia" w:ascii="宋体" w:hAnsi="宋体"/>
                <w:color w:val="000000"/>
                <w:kern w:val="0"/>
                <w:sz w:val="18"/>
                <w:szCs w:val="18"/>
              </w:rPr>
              <w:t>春雷霉素</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hint="eastAsia" w:ascii="宋体" w:hAnsi="宋体"/>
                <w:color w:val="000000"/>
                <w:kern w:val="0"/>
                <w:sz w:val="18"/>
                <w:szCs w:val="18"/>
              </w:rPr>
              <w:t>氨基寡糖素</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营养缺失</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叶面肥</w:t>
            </w:r>
          </w:p>
        </w:tc>
        <w:tc>
          <w:tcPr>
            <w:tcW w:w="3544" w:type="dxa"/>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可以吸收营养物质时施用叶面肥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5月上旬</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开花期</w:t>
            </w: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斑衣蜡蝉</w:t>
            </w:r>
          </w:p>
        </w:tc>
        <w:tc>
          <w:tcPr>
            <w:tcW w:w="2184"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高效氯氟氰菊酯</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花期避免喷施任何农药，以免杀死花粉。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Merge w:val="continue"/>
            <w:vAlign w:val="center"/>
          </w:tcPr>
          <w:p>
            <w:pPr>
              <w:widowControl/>
              <w:snapToGrid w:val="0"/>
              <w:spacing w:line="240" w:lineRule="atLeast"/>
              <w:jc w:val="center"/>
              <w:rPr>
                <w:rFonts w:ascii="宋体" w:hAnsi="宋体"/>
                <w:color w:val="000000"/>
                <w:kern w:val="0"/>
                <w:sz w:val="18"/>
                <w:szCs w:val="18"/>
              </w:rPr>
            </w:pP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5月中旬</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幼果期</w:t>
            </w: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灰霉病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褐斑病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叶斑病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啶氧菌酯</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如果在花期雨水较多，则应在连阴雨前施用杀菌剂；检测叶斑病的发生，如有需要可进行预防性的喷施。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异菌脲</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丙森锌</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肟菌酯+戊唑醇</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苯醚甲环唑丙环唑</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丙环唑+嘧菌酯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小薪甲</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高效氯氟氰菊酯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噻虫嗪+高效氯氟氰菊酯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5月下旬～6月中旬</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果实膨大期</w:t>
            </w: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叶螨</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氯虫苯甲酰胺</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监测叶蝉的第一代发生，刚见到叶蝉时应及时喷施杀虫剂，如有需要应重复喷施。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褐斑病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恶唑菌酮+代森锰锌</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7月下旬～8月中旬</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果实二次膨大期</w:t>
            </w: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红蜘蛛</w:t>
            </w:r>
          </w:p>
        </w:tc>
        <w:tc>
          <w:tcPr>
            <w:tcW w:w="2184"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乙螨唑</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监测叶螨的发生，观察到后需立即引入天敌。避免使用对叶螨天敌有害的农药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蝽橡</w:t>
            </w:r>
          </w:p>
        </w:tc>
        <w:tc>
          <w:tcPr>
            <w:tcW w:w="2184" w:type="dxa"/>
            <w:vMerge w:val="continue"/>
            <w:vAlign w:val="center"/>
          </w:tcPr>
          <w:p>
            <w:pPr>
              <w:widowControl/>
              <w:snapToGrid w:val="0"/>
              <w:spacing w:line="240" w:lineRule="atLeast"/>
              <w:jc w:val="center"/>
              <w:rPr>
                <w:rFonts w:ascii="宋体" w:hAnsi="宋体"/>
                <w:color w:val="000000"/>
                <w:kern w:val="0"/>
                <w:sz w:val="18"/>
                <w:szCs w:val="18"/>
              </w:rPr>
            </w:pP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金龟子</w:t>
            </w:r>
          </w:p>
        </w:tc>
        <w:tc>
          <w:tcPr>
            <w:tcW w:w="2184" w:type="dxa"/>
            <w:vMerge w:val="continue"/>
            <w:vAlign w:val="center"/>
          </w:tcPr>
          <w:p>
            <w:pPr>
              <w:widowControl/>
              <w:snapToGrid w:val="0"/>
              <w:spacing w:line="240" w:lineRule="atLeast"/>
              <w:jc w:val="center"/>
              <w:rPr>
                <w:rFonts w:ascii="宋体" w:hAnsi="宋体"/>
                <w:color w:val="000000"/>
                <w:kern w:val="0"/>
                <w:sz w:val="18"/>
                <w:szCs w:val="18"/>
              </w:rPr>
            </w:pP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褐斑病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叶斑病</w:t>
            </w:r>
          </w:p>
          <w:p>
            <w:pPr>
              <w:snapToGrid w:val="0"/>
              <w:spacing w:line="240" w:lineRule="atLeast"/>
              <w:jc w:val="center"/>
              <w:rPr>
                <w:rFonts w:ascii="宋体" w:hAnsi="宋体"/>
                <w:color w:val="000000"/>
                <w:kern w:val="0"/>
                <w:sz w:val="18"/>
                <w:szCs w:val="18"/>
              </w:rPr>
            </w:pPr>
            <w:r>
              <w:rPr>
                <w:rFonts w:ascii="宋体" w:hAnsi="宋体"/>
                <w:color w:val="000000"/>
                <w:kern w:val="0"/>
                <w:sz w:val="18"/>
                <w:szCs w:val="18"/>
              </w:rPr>
              <w:t>叶枯病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恶唑菌酮+代森锰锌</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监测叶斑病的发生，观察到病斑时应立即喷施杀菌剂，尤其在天气预报的连阴雨天气前。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啶氧菌酯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8月下旬～10月中旬</w:t>
            </w:r>
          </w:p>
        </w:tc>
        <w:tc>
          <w:tcPr>
            <w:tcW w:w="136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果实成熟期</w:t>
            </w:r>
          </w:p>
        </w:tc>
        <w:tc>
          <w:tcPr>
            <w:tcW w:w="986" w:type="dxa"/>
            <w:vMerge w:val="restart"/>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褐斑病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灰霉病</w:t>
            </w:r>
          </w:p>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叶枯病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啶氧菌脂、丙环唑</w:t>
            </w:r>
          </w:p>
        </w:tc>
        <w:tc>
          <w:tcPr>
            <w:tcW w:w="3544" w:type="dxa"/>
            <w:vMerge w:val="restart"/>
            <w:vAlign w:val="center"/>
          </w:tcPr>
          <w:p>
            <w:pPr>
              <w:widowControl/>
              <w:snapToGrid w:val="0"/>
              <w:spacing w:line="240" w:lineRule="atLeast"/>
              <w:rPr>
                <w:rFonts w:ascii="宋体" w:hAnsi="宋体"/>
                <w:color w:val="000000"/>
                <w:kern w:val="0"/>
                <w:sz w:val="18"/>
                <w:szCs w:val="18"/>
              </w:rPr>
            </w:pPr>
            <w:r>
              <w:rPr>
                <w:rFonts w:ascii="宋体" w:hAnsi="宋体"/>
                <w:color w:val="000000"/>
                <w:kern w:val="0"/>
                <w:sz w:val="18"/>
                <w:szCs w:val="18"/>
              </w:rPr>
              <w:t>采收前</w:t>
            </w:r>
            <w:r>
              <w:rPr>
                <w:rFonts w:hint="eastAsia" w:ascii="宋体" w:hAnsi="宋体"/>
                <w:color w:val="000000"/>
                <w:kern w:val="0"/>
                <w:sz w:val="18"/>
                <w:szCs w:val="18"/>
              </w:rPr>
              <w:t>1</w:t>
            </w:r>
            <w:r>
              <w:rPr>
                <w:rFonts w:ascii="宋体" w:hAnsi="宋体"/>
                <w:color w:val="000000"/>
                <w:kern w:val="0"/>
                <w:sz w:val="18"/>
                <w:szCs w:val="18"/>
              </w:rPr>
              <w:t>月内不得施用任何农药；避免喷施引起不可接受农残的农药及果面污渍。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苯醚甲环唑丙环唑</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Merge w:val="continue"/>
            <w:vAlign w:val="center"/>
          </w:tcPr>
          <w:p>
            <w:pPr>
              <w:widowControl/>
              <w:snapToGrid w:val="0"/>
              <w:spacing w:line="240" w:lineRule="atLeast"/>
              <w:jc w:val="center"/>
              <w:rPr>
                <w:rFonts w:ascii="宋体" w:hAnsi="宋体"/>
                <w:color w:val="000000"/>
                <w:kern w:val="0"/>
                <w:sz w:val="18"/>
                <w:szCs w:val="18"/>
              </w:rPr>
            </w:pP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丙环唑+嘧菌酯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Merge w:val="continue"/>
            <w:vAlign w:val="center"/>
          </w:tcPr>
          <w:p>
            <w:pPr>
              <w:widowControl/>
              <w:snapToGrid w:val="0"/>
              <w:spacing w:line="240" w:lineRule="atLeast"/>
              <w:jc w:val="center"/>
              <w:rPr>
                <w:rFonts w:ascii="宋体" w:hAnsi="宋体"/>
                <w:color w:val="000000"/>
                <w:kern w:val="0"/>
                <w:sz w:val="18"/>
                <w:szCs w:val="18"/>
              </w:rPr>
            </w:pPr>
          </w:p>
        </w:tc>
        <w:tc>
          <w:tcPr>
            <w:tcW w:w="1366" w:type="dxa"/>
            <w:vMerge w:val="continue"/>
            <w:vAlign w:val="center"/>
          </w:tcPr>
          <w:p>
            <w:pPr>
              <w:widowControl/>
              <w:snapToGrid w:val="0"/>
              <w:spacing w:line="240" w:lineRule="atLeast"/>
              <w:jc w:val="center"/>
              <w:rPr>
                <w:rFonts w:ascii="宋体" w:hAnsi="宋体"/>
                <w:color w:val="000000"/>
                <w:kern w:val="0"/>
                <w:sz w:val="18"/>
                <w:szCs w:val="18"/>
              </w:rPr>
            </w:pP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斑衣蜡蝉</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高效氯氟氰菊酯</w:t>
            </w:r>
          </w:p>
        </w:tc>
        <w:tc>
          <w:tcPr>
            <w:tcW w:w="3544" w:type="dxa"/>
            <w:vMerge w:val="continue"/>
            <w:vAlign w:val="center"/>
          </w:tcPr>
          <w:p>
            <w:pPr>
              <w:widowControl/>
              <w:snapToGrid w:val="0"/>
              <w:spacing w:line="240" w:lineRule="atLeast"/>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1271"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10月下旬～翌年2月</w:t>
            </w:r>
          </w:p>
        </w:tc>
        <w:tc>
          <w:tcPr>
            <w:tcW w:w="136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果实采收后</w:t>
            </w:r>
          </w:p>
        </w:tc>
        <w:tc>
          <w:tcPr>
            <w:tcW w:w="986"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溃疡病</w:t>
            </w:r>
          </w:p>
        </w:tc>
        <w:tc>
          <w:tcPr>
            <w:tcW w:w="2184" w:type="dxa"/>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氢氧化铜</w:t>
            </w:r>
          </w:p>
        </w:tc>
        <w:tc>
          <w:tcPr>
            <w:tcW w:w="3544" w:type="dxa"/>
            <w:vAlign w:val="center"/>
          </w:tcPr>
          <w:p>
            <w:pPr>
              <w:widowControl/>
              <w:snapToGrid w:val="0"/>
              <w:spacing w:line="240" w:lineRule="atLeast"/>
              <w:rPr>
                <w:rFonts w:ascii="宋体" w:hAnsi="宋体"/>
                <w:color w:val="000000"/>
                <w:kern w:val="0"/>
                <w:sz w:val="18"/>
                <w:szCs w:val="18"/>
              </w:rPr>
            </w:pPr>
            <w:r>
              <w:rPr>
                <w:rFonts w:hint="eastAsia" w:ascii="宋体" w:hAnsi="宋体"/>
                <w:color w:val="000000"/>
                <w:kern w:val="0"/>
                <w:sz w:val="18"/>
                <w:szCs w:val="18"/>
              </w:rPr>
              <w:t>采果后落叶前喷淋主干大枝防控溃疡病</w:t>
            </w:r>
          </w:p>
        </w:tc>
      </w:tr>
    </w:tbl>
    <w:p>
      <w:pPr>
        <w:widowControl/>
        <w:autoSpaceDE w:val="0"/>
        <w:autoSpaceDN w:val="0"/>
        <w:adjustRightInd/>
        <w:spacing w:line="240" w:lineRule="auto"/>
        <w:ind w:firstLine="199" w:firstLineChars="95"/>
        <w:rPr>
          <w:rFonts w:ascii="宋体" w:hAnsi="Times New Roman"/>
          <w:kern w:val="0"/>
          <w:szCs w:val="20"/>
        </w:rPr>
      </w:pPr>
    </w:p>
    <w:p>
      <w:pPr>
        <w:widowControl/>
        <w:adjustRightInd/>
        <w:spacing w:line="240" w:lineRule="auto"/>
        <w:jc w:val="left"/>
        <w:rPr>
          <w:color w:val="000000"/>
        </w:rPr>
      </w:pPr>
      <w:r>
        <w:rPr>
          <w:color w:val="000000"/>
        </w:rPr>
        <w:br w:type="page"/>
      </w:r>
    </w:p>
    <w:p>
      <w:pPr>
        <w:pStyle w:val="82"/>
        <w:spacing w:after="156"/>
      </w:pPr>
      <w:r>
        <w:br w:type="textWrapping"/>
      </w:r>
      <w:r>
        <w:rPr>
          <w:rFonts w:hint="eastAsia"/>
        </w:rPr>
        <w:t>（规范性）</w:t>
      </w:r>
      <w:r>
        <w:br w:type="textWrapping"/>
      </w:r>
      <w:r>
        <w:rPr>
          <w:rFonts w:hint="eastAsia"/>
        </w:rPr>
        <w:t>猕猴桃主要病虫害防治登记药剂</w:t>
      </w:r>
    </w:p>
    <w:p>
      <w:pPr>
        <w:widowControl/>
        <w:numPr>
          <w:ilvl w:val="0"/>
          <w:numId w:val="30"/>
        </w:numPr>
        <w:autoSpaceDE w:val="0"/>
        <w:autoSpaceDN w:val="0"/>
        <w:adjustRightInd/>
        <w:spacing w:before="120" w:after="120" w:line="14" w:lineRule="exact"/>
        <w:jc w:val="center"/>
        <w:rPr>
          <w:rFonts w:ascii="宋体" w:hAnsi="Times New Roman" w:eastAsia="黑体"/>
          <w:vanish/>
          <w:kern w:val="0"/>
          <w:sz w:val="2"/>
          <w:szCs w:val="20"/>
        </w:rPr>
      </w:pPr>
    </w:p>
    <w:p>
      <w:pPr>
        <w:pStyle w:val="242"/>
        <w:widowControl/>
        <w:numPr>
          <w:ilvl w:val="0"/>
          <w:numId w:val="4"/>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83"/>
        <w:spacing w:before="156" w:after="156"/>
      </w:pPr>
      <w:r>
        <w:rPr>
          <w:rFonts w:hint="eastAsia"/>
        </w:rPr>
        <w:t>猕猴桃生产登记药剂</w:t>
      </w:r>
    </w:p>
    <w:bookmarkEnd w:id="47"/>
    <w:tbl>
      <w:tblPr>
        <w:tblStyle w:val="36"/>
        <w:tblW w:w="78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5"/>
        <w:gridCol w:w="1406"/>
        <w:gridCol w:w="1000"/>
        <w:gridCol w:w="895"/>
        <w:gridCol w:w="1649"/>
        <w:gridCol w:w="23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序号</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药剂名称</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剂型</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防治对象</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使用剂量</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作用机理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1</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香芹酚</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水剂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灰霉病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稀释800</w:t>
            </w:r>
            <w:r>
              <w:rPr>
                <w:rFonts w:ascii="Times New Roman" w:hAnsi="Times New Roman"/>
                <w:color w:val="000000"/>
                <w:kern w:val="0"/>
                <w:sz w:val="18"/>
                <w:szCs w:val="18"/>
              </w:rPr>
              <w:t>~</w:t>
            </w:r>
            <w:r>
              <w:rPr>
                <w:rFonts w:ascii="宋体" w:hAnsi="宋体"/>
                <w:color w:val="000000"/>
                <w:kern w:val="0"/>
                <w:sz w:val="18"/>
                <w:szCs w:val="18"/>
              </w:rPr>
              <w:t>1000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1"/>
                <w:kern w:val="0"/>
                <w:sz w:val="18"/>
                <w:szCs w:val="18"/>
              </w:rPr>
              <w:t>生物源农药；作用机理未</w:t>
            </w:r>
            <w:r>
              <w:rPr>
                <w:rFonts w:ascii="宋体" w:hAnsi="宋体"/>
                <w:color w:val="000000"/>
                <w:spacing w:val="-4"/>
                <w:kern w:val="0"/>
                <w:sz w:val="18"/>
                <w:szCs w:val="18"/>
              </w:rPr>
              <w:t>报道。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2</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2"/>
                <w:kern w:val="0"/>
                <w:sz w:val="18"/>
                <w:szCs w:val="18"/>
              </w:rPr>
              <w:t>氨基寡糖素</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水剂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根结线虫</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稀释75</w:t>
            </w:r>
            <w:r>
              <w:rPr>
                <w:rFonts w:ascii="Times New Roman" w:hAnsi="Times New Roman"/>
                <w:color w:val="000000"/>
                <w:kern w:val="0"/>
                <w:sz w:val="18"/>
                <w:szCs w:val="18"/>
              </w:rPr>
              <w:t>~</w:t>
            </w:r>
            <w:r>
              <w:rPr>
                <w:rFonts w:ascii="宋体" w:hAnsi="宋体"/>
                <w:color w:val="000000"/>
                <w:kern w:val="0"/>
                <w:sz w:val="18"/>
                <w:szCs w:val="18"/>
              </w:rPr>
              <w:t>100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2"/>
                <w:kern w:val="0"/>
                <w:sz w:val="18"/>
                <w:szCs w:val="18"/>
              </w:rPr>
              <w:t>生物源农药；诱导作物产生几丁质酶，可以分解吸收线虫和卵壳中的壳寡糖，溶解线虫体壁和卵壳，导致线虫和虫</w:t>
            </w:r>
            <w:r>
              <w:rPr>
                <w:rFonts w:ascii="宋体" w:hAnsi="宋体"/>
                <w:color w:val="000000"/>
                <w:spacing w:val="-4"/>
                <w:kern w:val="0"/>
                <w:sz w:val="18"/>
                <w:szCs w:val="18"/>
              </w:rPr>
              <w:t>卵死亡。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3</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苦参碱</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可溶液剂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蚜虫</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稀释3000</w:t>
            </w:r>
            <w:r>
              <w:rPr>
                <w:rFonts w:ascii="Times New Roman" w:hAnsi="Times New Roman"/>
                <w:color w:val="000000"/>
                <w:kern w:val="0"/>
                <w:sz w:val="18"/>
                <w:szCs w:val="18"/>
              </w:rPr>
              <w:t>~</w:t>
            </w:r>
            <w:r>
              <w:rPr>
                <w:rFonts w:ascii="宋体" w:hAnsi="宋体"/>
                <w:color w:val="000000"/>
                <w:kern w:val="0"/>
                <w:sz w:val="18"/>
                <w:szCs w:val="18"/>
              </w:rPr>
              <w:t>4000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1"/>
                <w:kern w:val="0"/>
                <w:sz w:val="18"/>
                <w:szCs w:val="18"/>
              </w:rPr>
              <w:t>生物源农药；影响中枢神</w:t>
            </w:r>
            <w:r>
              <w:rPr>
                <w:rFonts w:ascii="宋体" w:hAnsi="宋体"/>
                <w:color w:val="000000"/>
                <w:spacing w:val="-3"/>
                <w:kern w:val="0"/>
                <w:sz w:val="18"/>
                <w:szCs w:val="18"/>
              </w:rPr>
              <w:t>经系统。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4</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苦皮藤素</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水乳剂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小卷叶蛾</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稀释4000</w:t>
            </w:r>
            <w:r>
              <w:rPr>
                <w:rFonts w:ascii="Times New Roman" w:hAnsi="Times New Roman"/>
                <w:color w:val="000000"/>
                <w:kern w:val="0"/>
                <w:sz w:val="18"/>
                <w:szCs w:val="18"/>
              </w:rPr>
              <w:t>~</w:t>
            </w:r>
            <w:r>
              <w:rPr>
                <w:rFonts w:ascii="宋体" w:hAnsi="宋体"/>
                <w:color w:val="000000"/>
                <w:kern w:val="0"/>
                <w:sz w:val="18"/>
                <w:szCs w:val="18"/>
              </w:rPr>
              <w:t>5000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2"/>
                <w:kern w:val="0"/>
                <w:sz w:val="18"/>
                <w:szCs w:val="18"/>
              </w:rPr>
              <w:t>生物源农药；破坏中肠细胞质膜和内膜系统。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5</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2"/>
                <w:kern w:val="0"/>
                <w:sz w:val="18"/>
                <w:szCs w:val="18"/>
              </w:rPr>
              <w:t>藜芦根茎提取物</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3"/>
                <w:kern w:val="0"/>
                <w:sz w:val="18"/>
                <w:szCs w:val="18"/>
              </w:rPr>
              <w:t>可溶液剂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红蜘蛛</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稀释600</w:t>
            </w:r>
            <w:r>
              <w:rPr>
                <w:rFonts w:ascii="Times New Roman" w:hAnsi="Times New Roman"/>
                <w:color w:val="000000"/>
                <w:kern w:val="0"/>
                <w:sz w:val="18"/>
                <w:szCs w:val="18"/>
              </w:rPr>
              <w:t>~</w:t>
            </w:r>
            <w:r>
              <w:rPr>
                <w:rFonts w:ascii="宋体" w:hAnsi="宋体"/>
                <w:color w:val="000000"/>
                <w:kern w:val="0"/>
                <w:sz w:val="18"/>
                <w:szCs w:val="18"/>
              </w:rPr>
              <w:t>700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1"/>
                <w:kern w:val="0"/>
                <w:sz w:val="18"/>
                <w:szCs w:val="18"/>
              </w:rPr>
              <w:t>生物源农药；钠离子通道</w:t>
            </w:r>
          </w:p>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3"/>
                <w:kern w:val="0"/>
                <w:sz w:val="18"/>
                <w:szCs w:val="18"/>
              </w:rPr>
              <w:t>抑制剂。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6</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小檗碱</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水剂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褐斑病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稀释400</w:t>
            </w:r>
            <w:r>
              <w:rPr>
                <w:rFonts w:ascii="Times New Roman" w:hAnsi="Times New Roman"/>
                <w:color w:val="000000"/>
                <w:kern w:val="0"/>
                <w:sz w:val="18"/>
                <w:szCs w:val="18"/>
              </w:rPr>
              <w:t>~</w:t>
            </w:r>
            <w:r>
              <w:rPr>
                <w:rFonts w:ascii="宋体" w:hAnsi="宋体"/>
                <w:color w:val="000000"/>
                <w:kern w:val="0"/>
                <w:sz w:val="18"/>
                <w:szCs w:val="18"/>
              </w:rPr>
              <w:t>500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2"/>
                <w:kern w:val="0"/>
                <w:sz w:val="18"/>
                <w:szCs w:val="18"/>
              </w:rPr>
              <w:t>生物源农药；干扰病原菌体内代谢，破坏病原菌表面结</w:t>
            </w:r>
            <w:r>
              <w:rPr>
                <w:rFonts w:ascii="宋体" w:hAnsi="宋体"/>
                <w:color w:val="000000"/>
                <w:spacing w:val="-6"/>
                <w:kern w:val="0"/>
                <w:sz w:val="18"/>
                <w:szCs w:val="18"/>
              </w:rPr>
              <w:t>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7</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5"/>
                <w:kern w:val="0"/>
                <w:sz w:val="18"/>
                <w:szCs w:val="18"/>
              </w:rPr>
              <w:t>王铜</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2"/>
                <w:kern w:val="0"/>
                <w:sz w:val="18"/>
                <w:szCs w:val="18"/>
              </w:rPr>
              <w:t>水分散粒剂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溃疡病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稀释800</w:t>
            </w:r>
            <w:r>
              <w:rPr>
                <w:rFonts w:ascii="Times New Roman" w:hAnsi="Times New Roman"/>
                <w:color w:val="000000"/>
                <w:kern w:val="0"/>
                <w:sz w:val="18"/>
                <w:szCs w:val="18"/>
              </w:rPr>
              <w:t>~</w:t>
            </w:r>
            <w:r>
              <w:rPr>
                <w:rFonts w:ascii="宋体" w:hAnsi="宋体"/>
                <w:color w:val="000000"/>
                <w:kern w:val="0"/>
                <w:sz w:val="18"/>
                <w:szCs w:val="18"/>
              </w:rPr>
              <w:t>1600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2"/>
                <w:kern w:val="0"/>
                <w:sz w:val="18"/>
                <w:szCs w:val="18"/>
              </w:rPr>
              <w:t>化学农药；弱酸条件释放</w:t>
            </w:r>
            <w:r>
              <w:rPr>
                <w:rFonts w:ascii="宋体" w:hAnsi="宋体"/>
                <w:color w:val="000000"/>
                <w:spacing w:val="7"/>
                <w:kern w:val="0"/>
                <w:sz w:val="18"/>
                <w:szCs w:val="18"/>
              </w:rPr>
              <w:t>铜离子,破坏蛋白质从而起到</w:t>
            </w:r>
            <w:r>
              <w:rPr>
                <w:rFonts w:ascii="宋体" w:hAnsi="宋体"/>
                <w:color w:val="000000"/>
                <w:spacing w:val="-2"/>
                <w:kern w:val="0"/>
                <w:sz w:val="18"/>
                <w:szCs w:val="18"/>
              </w:rPr>
              <w:t>杀菌的作用。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8</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噻菌铜</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悬浮剂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spacing w:val="-4"/>
                <w:kern w:val="0"/>
                <w:sz w:val="18"/>
                <w:szCs w:val="18"/>
              </w:rPr>
              <w:t>溃疡病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稀释300</w:t>
            </w:r>
            <w:r>
              <w:rPr>
                <w:rFonts w:ascii="Times New Roman" w:hAnsi="Times New Roman"/>
                <w:color w:val="000000"/>
                <w:kern w:val="0"/>
                <w:sz w:val="18"/>
                <w:szCs w:val="18"/>
              </w:rPr>
              <w:t>~</w:t>
            </w:r>
            <w:r>
              <w:rPr>
                <w:rFonts w:ascii="宋体" w:hAnsi="宋体"/>
                <w:color w:val="000000"/>
                <w:kern w:val="0"/>
                <w:sz w:val="18"/>
                <w:szCs w:val="18"/>
              </w:rPr>
              <w:t>700</w:t>
            </w:r>
            <w:r>
              <w:rPr>
                <w:rFonts w:ascii="宋体" w:hAnsi="宋体"/>
                <w:color w:val="000000"/>
                <w:spacing w:val="-10"/>
                <w:kern w:val="0"/>
                <w:sz w:val="18"/>
                <w:szCs w:val="18"/>
              </w:rPr>
              <w:t>倍</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2"/>
                <w:kern w:val="0"/>
                <w:sz w:val="18"/>
                <w:szCs w:val="18"/>
              </w:rPr>
              <w:t>化学农药；噻唑基团可使细菌细胞壁变薄，继而瓦解、死亡，铜离子可与病原菌细胞</w:t>
            </w:r>
            <w:r>
              <w:rPr>
                <w:rFonts w:ascii="宋体" w:hAnsi="宋体"/>
                <w:color w:val="000000"/>
                <w:spacing w:val="-4"/>
                <w:kern w:val="0"/>
                <w:sz w:val="18"/>
                <w:szCs w:val="18"/>
              </w:rPr>
              <w:t>膜表面上的阳离子(H</w:t>
            </w:r>
            <w:r>
              <w:rPr>
                <w:rFonts w:ascii="宋体" w:hAnsi="宋体"/>
                <w:color w:val="000000"/>
                <w:spacing w:val="-4"/>
                <w:kern w:val="0"/>
                <w:position w:val="9"/>
                <w:sz w:val="18"/>
                <w:szCs w:val="18"/>
              </w:rPr>
              <w:t>+</w:t>
            </w:r>
            <w:r>
              <w:rPr>
                <w:rFonts w:ascii="宋体" w:hAnsi="宋体"/>
                <w:color w:val="000000"/>
                <w:spacing w:val="-4"/>
                <w:kern w:val="0"/>
                <w:sz w:val="18"/>
                <w:szCs w:val="18"/>
              </w:rPr>
              <w:t>，K</w:t>
            </w:r>
            <w:r>
              <w:rPr>
                <w:rFonts w:ascii="宋体" w:hAnsi="宋体"/>
                <w:color w:val="000000"/>
                <w:spacing w:val="-4"/>
                <w:kern w:val="0"/>
                <w:position w:val="9"/>
                <w:sz w:val="18"/>
                <w:szCs w:val="18"/>
              </w:rPr>
              <w:t>+</w:t>
            </w:r>
            <w:r>
              <w:rPr>
                <w:rFonts w:ascii="宋体" w:hAnsi="宋体"/>
                <w:color w:val="000000"/>
                <w:spacing w:val="-4"/>
                <w:kern w:val="0"/>
                <w:sz w:val="18"/>
                <w:szCs w:val="18"/>
              </w:rPr>
              <w:t>等)交</w:t>
            </w:r>
            <w:r>
              <w:rPr>
                <w:rFonts w:ascii="宋体" w:hAnsi="宋体"/>
                <w:color w:val="000000"/>
                <w:spacing w:val="-1"/>
                <w:kern w:val="0"/>
                <w:sz w:val="18"/>
                <w:szCs w:val="18"/>
              </w:rPr>
              <w:t>换，导致病菌细胞膜上的蛋白</w:t>
            </w:r>
          </w:p>
          <w:p>
            <w:pPr>
              <w:autoSpaceDE w:val="0"/>
              <w:autoSpaceDN w:val="0"/>
              <w:adjustRightInd/>
              <w:snapToGrid w:val="0"/>
              <w:spacing w:line="240" w:lineRule="atLeast"/>
              <w:jc w:val="left"/>
              <w:rPr>
                <w:rFonts w:ascii="宋体" w:hAnsi="宋体"/>
                <w:color w:val="000000"/>
                <w:kern w:val="0"/>
                <w:sz w:val="18"/>
                <w:szCs w:val="18"/>
              </w:rPr>
            </w:pPr>
            <w:r>
              <w:rPr>
                <w:rFonts w:ascii="宋体" w:hAnsi="宋体"/>
                <w:color w:val="000000"/>
                <w:spacing w:val="-3"/>
                <w:kern w:val="0"/>
                <w:sz w:val="18"/>
                <w:szCs w:val="18"/>
              </w:rPr>
              <w:t>质凝固。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ascii="宋体" w:hAnsi="宋体"/>
                <w:color w:val="000000"/>
                <w:kern w:val="0"/>
                <w:sz w:val="18"/>
                <w:szCs w:val="18"/>
              </w:rPr>
              <w:t>9</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春雷霉素</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水剂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溃疡病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hint="eastAsia" w:ascii="宋体" w:hAnsi="宋体"/>
                <w:color w:val="000000"/>
                <w:kern w:val="0"/>
                <w:sz w:val="18"/>
                <w:szCs w:val="18"/>
              </w:rPr>
              <w:t>见</w:t>
            </w:r>
            <w:r>
              <w:rPr>
                <w:rFonts w:ascii="宋体" w:hAnsi="宋体"/>
                <w:color w:val="000000"/>
                <w:kern w:val="0"/>
                <w:sz w:val="18"/>
                <w:szCs w:val="18"/>
              </w:rPr>
              <w:t>药剂说明</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spacing w:val="-3"/>
                <w:kern w:val="0"/>
                <w:sz w:val="18"/>
                <w:szCs w:val="18"/>
              </w:rPr>
            </w:pPr>
            <w:r>
              <w:rPr>
                <w:rFonts w:ascii="宋体" w:hAnsi="宋体"/>
                <w:color w:val="000000"/>
                <w:spacing w:val="-3"/>
                <w:kern w:val="0"/>
                <w:sz w:val="18"/>
                <w:szCs w:val="18"/>
              </w:rPr>
              <w:t>生物药剂，干扰病原菌的蛋白质合成发挥抑菌作用</w:t>
            </w:r>
            <w:r>
              <w:rPr>
                <w:rFonts w:hint="eastAsia" w:ascii="宋体" w:hAnsi="宋体"/>
                <w:color w:val="000000"/>
                <w:spacing w:val="-3"/>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hint="eastAsia" w:ascii="宋体" w:hAnsi="宋体"/>
                <w:color w:val="000000"/>
                <w:kern w:val="0"/>
                <w:sz w:val="18"/>
                <w:szCs w:val="18"/>
              </w:rPr>
              <w:t>1</w:t>
            </w:r>
            <w:r>
              <w:rPr>
                <w:rFonts w:ascii="宋体" w:hAnsi="宋体"/>
                <w:color w:val="000000"/>
                <w:kern w:val="0"/>
                <w:sz w:val="18"/>
                <w:szCs w:val="18"/>
              </w:rPr>
              <w:t>0</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中生菌素</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可湿性粉剂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溃疡病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hint="eastAsia" w:ascii="宋体" w:hAnsi="宋体"/>
                <w:color w:val="000000"/>
                <w:kern w:val="0"/>
                <w:sz w:val="18"/>
                <w:szCs w:val="18"/>
              </w:rPr>
              <w:t>见</w:t>
            </w:r>
            <w:r>
              <w:rPr>
                <w:rFonts w:ascii="宋体" w:hAnsi="宋体"/>
                <w:color w:val="000000"/>
                <w:kern w:val="0"/>
                <w:sz w:val="18"/>
                <w:szCs w:val="18"/>
              </w:rPr>
              <w:t>药剂说明</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spacing w:val="-3"/>
                <w:kern w:val="0"/>
                <w:sz w:val="18"/>
                <w:szCs w:val="18"/>
              </w:rPr>
            </w:pPr>
            <w:r>
              <w:rPr>
                <w:rFonts w:ascii="宋体" w:hAnsi="宋体"/>
                <w:color w:val="000000"/>
                <w:spacing w:val="-3"/>
                <w:kern w:val="0"/>
                <w:sz w:val="18"/>
                <w:szCs w:val="18"/>
              </w:rPr>
              <w:t>生物药剂，</w:t>
            </w:r>
            <w:r>
              <w:rPr>
                <w:rFonts w:hint="eastAsia" w:ascii="宋体" w:hAnsi="宋体"/>
                <w:color w:val="000000"/>
                <w:spacing w:val="-3"/>
                <w:kern w:val="0"/>
                <w:sz w:val="18"/>
                <w:szCs w:val="18"/>
              </w:rPr>
              <w:t>破坏病原菌的细胞膜和细胞壁，阻止病原菌的生长和繁殖。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jc w:val="center"/>
        </w:trPr>
        <w:tc>
          <w:tcPr>
            <w:tcW w:w="54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hint="eastAsia" w:ascii="宋体" w:hAnsi="宋体"/>
                <w:color w:val="000000"/>
                <w:kern w:val="0"/>
                <w:sz w:val="18"/>
                <w:szCs w:val="18"/>
              </w:rPr>
              <w:t>1</w:t>
            </w:r>
            <w:r>
              <w:rPr>
                <w:rFonts w:ascii="宋体" w:hAnsi="宋体"/>
                <w:color w:val="000000"/>
                <w:kern w:val="0"/>
                <w:sz w:val="18"/>
                <w:szCs w:val="18"/>
              </w:rPr>
              <w:t>1</w:t>
            </w:r>
          </w:p>
        </w:tc>
        <w:tc>
          <w:tcPr>
            <w:tcW w:w="140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梧宁霉素</w:t>
            </w:r>
          </w:p>
        </w:tc>
        <w:tc>
          <w:tcPr>
            <w:tcW w:w="100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水剂</w:t>
            </w:r>
          </w:p>
        </w:tc>
        <w:tc>
          <w:tcPr>
            <w:tcW w:w="89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spacing w:val="-4"/>
                <w:kern w:val="0"/>
                <w:sz w:val="18"/>
                <w:szCs w:val="18"/>
              </w:rPr>
            </w:pPr>
            <w:r>
              <w:rPr>
                <w:rFonts w:hint="eastAsia" w:ascii="宋体" w:hAnsi="宋体"/>
                <w:color w:val="000000"/>
                <w:spacing w:val="-4"/>
                <w:kern w:val="0"/>
                <w:sz w:val="18"/>
                <w:szCs w:val="18"/>
              </w:rPr>
              <w:t>溃疡病</w:t>
            </w:r>
          </w:p>
        </w:tc>
        <w:tc>
          <w:tcPr>
            <w:tcW w:w="16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pacing w:line="240" w:lineRule="atLeast"/>
              <w:jc w:val="center"/>
              <w:rPr>
                <w:rFonts w:ascii="宋体" w:hAnsi="宋体"/>
                <w:color w:val="000000"/>
                <w:kern w:val="0"/>
                <w:sz w:val="18"/>
                <w:szCs w:val="18"/>
              </w:rPr>
            </w:pPr>
            <w:r>
              <w:rPr>
                <w:rFonts w:hint="eastAsia" w:ascii="宋体" w:hAnsi="宋体"/>
                <w:color w:val="000000"/>
                <w:kern w:val="0"/>
                <w:sz w:val="18"/>
                <w:szCs w:val="18"/>
              </w:rPr>
              <w:t>见药剂说明</w:t>
            </w:r>
          </w:p>
        </w:tc>
        <w:tc>
          <w:tcPr>
            <w:tcW w:w="236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snapToGrid w:val="0"/>
              <w:spacing w:line="240" w:lineRule="atLeast"/>
              <w:jc w:val="left"/>
              <w:rPr>
                <w:rFonts w:ascii="宋体" w:hAnsi="宋体"/>
                <w:color w:val="000000"/>
                <w:spacing w:val="-3"/>
                <w:kern w:val="0"/>
                <w:sz w:val="18"/>
                <w:szCs w:val="18"/>
              </w:rPr>
            </w:pPr>
            <w:r>
              <w:rPr>
                <w:rFonts w:ascii="宋体" w:hAnsi="宋体"/>
                <w:color w:val="000000"/>
                <w:spacing w:val="-3"/>
                <w:kern w:val="0"/>
                <w:sz w:val="18"/>
                <w:szCs w:val="18"/>
              </w:rPr>
              <w:t>生物药剂，含有多个抗菌素，广谱抑菌，有保护和治疗双重作用。</w:t>
            </w:r>
          </w:p>
        </w:tc>
      </w:tr>
    </w:tbl>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pPr>
    </w:p>
    <w:p>
      <w:pPr>
        <w:widowControl/>
        <w:autoSpaceDE w:val="0"/>
        <w:autoSpaceDN w:val="0"/>
        <w:adjustRightInd/>
        <w:spacing w:line="240" w:lineRule="auto"/>
        <w:rPr>
          <w:rFonts w:ascii="宋体" w:hAnsi="Times New Roman"/>
          <w:color w:val="000000"/>
          <w:kern w:val="0"/>
          <w:szCs w:val="20"/>
        </w:rPr>
        <w:sectPr>
          <w:pgSz w:w="11906" w:h="16838"/>
          <w:pgMar w:top="1928" w:right="1134" w:bottom="1134" w:left="1134" w:header="1418" w:footer="1134" w:gutter="284"/>
          <w:cols w:space="425" w:num="1"/>
          <w:formProt w:val="0"/>
          <w:docGrid w:type="lines" w:linePitch="312" w:charSpace="0"/>
        </w:sectPr>
      </w:pPr>
    </w:p>
    <w:p>
      <w:pPr>
        <w:widowControl/>
        <w:autoSpaceDE w:val="0"/>
        <w:autoSpaceDN w:val="0"/>
        <w:adjustRightInd/>
        <w:spacing w:line="14" w:lineRule="exact"/>
        <w:ind w:left="420"/>
        <w:jc w:val="center"/>
        <w:rPr>
          <w:rFonts w:ascii="黑体" w:hAnsi="黑体" w:eastAsia="黑体"/>
          <w:color w:val="000000"/>
          <w:kern w:val="0"/>
          <w:sz w:val="2"/>
        </w:rPr>
      </w:pPr>
    </w:p>
    <w:p>
      <w:pPr>
        <w:widowControl/>
        <w:autoSpaceDE w:val="0"/>
        <w:autoSpaceDN w:val="0"/>
        <w:adjustRightInd/>
        <w:spacing w:line="14" w:lineRule="exact"/>
        <w:ind w:left="425"/>
        <w:jc w:val="center"/>
        <w:rPr>
          <w:rFonts w:ascii="宋体" w:hAnsi="Times New Roman" w:eastAsia="黑体"/>
          <w:color w:val="000000"/>
          <w:kern w:val="0"/>
          <w:sz w:val="2"/>
          <w:szCs w:val="20"/>
        </w:rPr>
      </w:pPr>
    </w:p>
    <w:p>
      <w:pPr>
        <w:pStyle w:val="82"/>
        <w:spacing w:after="156"/>
      </w:pPr>
      <w:bookmarkStart w:id="48" w:name="_Hlk183198301"/>
      <w:r>
        <w:br w:type="textWrapping"/>
      </w:r>
      <w:r>
        <w:rPr>
          <w:rFonts w:hint="eastAsia"/>
        </w:rPr>
        <w:t>（资料性）</w:t>
      </w:r>
      <w:r>
        <w:br w:type="textWrapping"/>
      </w:r>
      <w:r>
        <w:rPr>
          <w:rFonts w:hint="eastAsia"/>
        </w:rPr>
        <w:t>猕猴桃主要病虫害防治禁止使用的药剂</w:t>
      </w:r>
    </w:p>
    <w:p>
      <w:pPr>
        <w:pStyle w:val="242"/>
        <w:widowControl/>
        <w:numPr>
          <w:ilvl w:val="0"/>
          <w:numId w:val="4"/>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83"/>
        <w:spacing w:before="156" w:after="156"/>
      </w:pPr>
      <w:r>
        <w:rPr>
          <w:rFonts w:hint="eastAsia"/>
        </w:rPr>
        <w:t>猕猴桃生产禁止使用的药剂</w:t>
      </w:r>
    </w:p>
    <w:bookmarkEnd w:id="48"/>
    <w:tbl>
      <w:tblPr>
        <w:tblStyle w:val="36"/>
        <w:tblW w:w="875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4257"/>
        <w:gridCol w:w="24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8" w:space="0"/>
              <w:left w:val="single" w:color="auto" w:sz="8"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种类</w:t>
            </w:r>
          </w:p>
        </w:tc>
        <w:tc>
          <w:tcPr>
            <w:tcW w:w="4257" w:type="dxa"/>
            <w:tcBorders>
              <w:top w:val="single" w:color="auto" w:sz="8" w:space="0"/>
              <w:left w:val="single" w:color="auto" w:sz="4"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农药名称</w:t>
            </w:r>
          </w:p>
        </w:tc>
        <w:tc>
          <w:tcPr>
            <w:tcW w:w="2442" w:type="dxa"/>
            <w:tcBorders>
              <w:top w:val="single" w:color="auto" w:sz="8" w:space="0"/>
              <w:left w:val="single" w:color="auto" w:sz="4" w:space="0"/>
              <w:bottom w:val="single" w:color="auto" w:sz="8"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禁用原因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8"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有机氯类杀虫（螨）剂</w:t>
            </w:r>
          </w:p>
        </w:tc>
        <w:tc>
          <w:tcPr>
            <w:tcW w:w="4257" w:type="dxa"/>
            <w:tcBorders>
              <w:top w:val="single" w:color="auto" w:sz="8"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六六六、滴滴涕、林丹、硫丹、三氯杀螨醇</w:t>
            </w:r>
          </w:p>
        </w:tc>
        <w:tc>
          <w:tcPr>
            <w:tcW w:w="2442" w:type="dxa"/>
            <w:tcBorders>
              <w:top w:val="single" w:color="auto" w:sz="8"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高残毒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2060" w:type="dxa"/>
            <w:vMerge w:val="restart"/>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有机磷杀虫剂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久效磷、对硫磷、甲基对硫磷、治螟磷、地虫硫磷、蝇毒磷</w:t>
            </w:r>
          </w:p>
        </w:tc>
        <w:tc>
          <w:tcPr>
            <w:tcW w:w="2442" w:type="dxa"/>
            <w:vMerge w:val="restart"/>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剧毒高毒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jc w:val="center"/>
        </w:trPr>
        <w:tc>
          <w:tcPr>
            <w:tcW w:w="2060" w:type="dxa"/>
            <w:vMerge w:val="continue"/>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left"/>
              <w:rPr>
                <w:rFonts w:ascii="宋体" w:hAnsi="宋体"/>
                <w:color w:val="000000"/>
                <w:kern w:val="0"/>
                <w:sz w:val="18"/>
                <w:szCs w:val="18"/>
              </w:rPr>
            </w:pPr>
          </w:p>
        </w:tc>
        <w:tc>
          <w:tcPr>
            <w:tcW w:w="4257"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olor w:val="000000"/>
                <w:sz w:val="18"/>
                <w:szCs w:val="18"/>
              </w:rPr>
            </w:pPr>
            <w:r>
              <w:rPr>
                <w:rFonts w:ascii="宋体" w:hAnsi="宋体"/>
                <w:color w:val="000000"/>
                <w:kern w:val="0"/>
                <w:sz w:val="18"/>
                <w:szCs w:val="18"/>
              </w:rPr>
              <w:t>丙线磷（益收宝）、苯线磷、甲基硫环磷、甲拌磷、乙拌磷</w:t>
            </w:r>
          </w:p>
        </w:tc>
        <w:tc>
          <w:tcPr>
            <w:tcW w:w="2442" w:type="dxa"/>
            <w:vMerge w:val="continue"/>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left"/>
              <w:rPr>
                <w:rFonts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jc w:val="center"/>
        </w:trPr>
        <w:tc>
          <w:tcPr>
            <w:tcW w:w="2060" w:type="dxa"/>
            <w:vMerge w:val="continue"/>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left"/>
              <w:rPr>
                <w:rFonts w:ascii="宋体" w:hAnsi="宋体"/>
                <w:color w:val="000000"/>
                <w:kern w:val="0"/>
                <w:sz w:val="18"/>
                <w:szCs w:val="18"/>
              </w:rPr>
            </w:pPr>
          </w:p>
        </w:tc>
        <w:tc>
          <w:tcPr>
            <w:tcW w:w="4257"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olor w:val="000000"/>
                <w:sz w:val="18"/>
                <w:szCs w:val="18"/>
              </w:rPr>
            </w:pPr>
            <w:r>
              <w:rPr>
                <w:rFonts w:ascii="宋体" w:hAnsi="宋体"/>
                <w:color w:val="000000"/>
                <w:kern w:val="0"/>
                <w:sz w:val="18"/>
                <w:szCs w:val="18"/>
              </w:rPr>
              <w:t>甲胺磷、甲基异柳磷、氧化乐果、磷胺</w:t>
            </w:r>
          </w:p>
        </w:tc>
        <w:tc>
          <w:tcPr>
            <w:tcW w:w="2442" w:type="dxa"/>
            <w:vMerge w:val="continue"/>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left"/>
              <w:rPr>
                <w:rFonts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氨基甲酸酯类杀虫剂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涕灭威（铁灭克）、克百威（呋喃丹）</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有机氮杀虫剂杀螨剂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杀虫脒</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慢性毒性、致癌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有机锡杀螨剂杀菌剂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三环锡、薯瘟锡、毒菌锡等</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致畸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有机砷杀菌剂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福美砷、福美甲砷等</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高残毒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杂环类杀菌剂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敌枯双</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致畸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有机氮杀菌剂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双胍辛胺（培福朗）</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毒性高、有慢性毒性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有机汞杀菌剂</w:t>
            </w:r>
          </w:p>
        </w:tc>
        <w:tc>
          <w:tcPr>
            <w:tcW w:w="4257"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醋酸苯汞（赛力散）、氯化乙基汞（西力生）</w:t>
            </w:r>
          </w:p>
        </w:tc>
        <w:tc>
          <w:tcPr>
            <w:tcW w:w="2442" w:type="dxa"/>
            <w:tcBorders>
              <w:top w:val="single" w:color="auto" w:sz="4"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高残毒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有机氟杀虫剂</w:t>
            </w:r>
          </w:p>
        </w:tc>
        <w:tc>
          <w:tcPr>
            <w:tcW w:w="4257" w:type="dxa"/>
            <w:tcBorders>
              <w:top w:val="single" w:color="auto" w:sz="4" w:space="0"/>
              <w:left w:val="single" w:color="auto" w:sz="4"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氟乙酰胺、氟硅酸钠</w:t>
            </w:r>
          </w:p>
        </w:tc>
        <w:tc>
          <w:tcPr>
            <w:tcW w:w="2442" w:type="dxa"/>
            <w:tcBorders>
              <w:top w:val="single" w:color="auto" w:sz="4" w:space="0"/>
              <w:left w:val="single" w:color="auto" w:sz="4" w:space="0"/>
              <w:bottom w:val="single" w:color="auto" w:sz="8"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剧毒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2060" w:type="dxa"/>
            <w:tcBorders>
              <w:top w:val="single" w:color="auto" w:sz="8" w:space="0"/>
              <w:left w:val="single" w:color="auto" w:sz="8"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熏蒸剂</w:t>
            </w:r>
          </w:p>
        </w:tc>
        <w:tc>
          <w:tcPr>
            <w:tcW w:w="4257" w:type="dxa"/>
            <w:tcBorders>
              <w:top w:val="single" w:color="auto" w:sz="8" w:space="0"/>
              <w:left w:val="single" w:color="auto" w:sz="4" w:space="0"/>
              <w:bottom w:val="single" w:color="auto" w:sz="4"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二溴乙烷、二溴氯丙烷</w:t>
            </w:r>
          </w:p>
        </w:tc>
        <w:tc>
          <w:tcPr>
            <w:tcW w:w="2442" w:type="dxa"/>
            <w:tcBorders>
              <w:top w:val="single" w:color="auto" w:sz="8" w:space="0"/>
              <w:left w:val="single" w:color="auto" w:sz="4" w:space="0"/>
              <w:bottom w:val="single" w:color="auto" w:sz="4"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致癌、致畸、致突变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2060" w:type="dxa"/>
            <w:tcBorders>
              <w:top w:val="single" w:color="auto" w:sz="4" w:space="0"/>
              <w:left w:val="single" w:color="auto" w:sz="8"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二苯醚类除草剂</w:t>
            </w:r>
          </w:p>
        </w:tc>
        <w:tc>
          <w:tcPr>
            <w:tcW w:w="4257" w:type="dxa"/>
            <w:tcBorders>
              <w:top w:val="single" w:color="auto" w:sz="4" w:space="0"/>
              <w:left w:val="single" w:color="auto" w:sz="4" w:space="0"/>
              <w:bottom w:val="single" w:color="auto" w:sz="8" w:space="0"/>
              <w:right w:val="single" w:color="auto" w:sz="4"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除草醚、草枯醚</w:t>
            </w:r>
          </w:p>
        </w:tc>
        <w:tc>
          <w:tcPr>
            <w:tcW w:w="2442" w:type="dxa"/>
            <w:tcBorders>
              <w:top w:val="single" w:color="auto" w:sz="4" w:space="0"/>
              <w:left w:val="single" w:color="auto" w:sz="4" w:space="0"/>
              <w:bottom w:val="single" w:color="auto" w:sz="8" w:space="0"/>
              <w:right w:val="single" w:color="auto" w:sz="8" w:space="0"/>
            </w:tcBorders>
            <w:vAlign w:val="center"/>
          </w:tcPr>
          <w:p>
            <w:pPr>
              <w:widowControl/>
              <w:snapToGrid w:val="0"/>
              <w:spacing w:line="240" w:lineRule="atLeast"/>
              <w:jc w:val="center"/>
              <w:rPr>
                <w:rFonts w:ascii="宋体" w:hAnsi="宋体"/>
                <w:color w:val="000000"/>
                <w:kern w:val="0"/>
                <w:sz w:val="18"/>
                <w:szCs w:val="18"/>
              </w:rPr>
            </w:pPr>
            <w:r>
              <w:rPr>
                <w:rFonts w:ascii="宋体" w:hAnsi="宋体"/>
                <w:color w:val="000000"/>
                <w:kern w:val="0"/>
                <w:sz w:val="18"/>
                <w:szCs w:val="18"/>
              </w:rPr>
              <w:t>慢性毒性</w:t>
            </w:r>
          </w:p>
        </w:tc>
      </w:tr>
    </w:tbl>
    <w:p>
      <w:pPr>
        <w:widowControl/>
        <w:adjustRightInd/>
        <w:spacing w:before="156" w:beforeLines="50" w:after="156" w:afterLines="50" w:line="360" w:lineRule="exact"/>
        <w:jc w:val="center"/>
        <w:outlineLvl w:val="2"/>
        <w:rPr>
          <w:color w:val="000000"/>
        </w:rPr>
      </w:pPr>
    </w:p>
    <w:p>
      <w:pPr>
        <w:widowControl/>
        <w:adjustRightInd/>
        <w:spacing w:before="156" w:beforeLines="50" w:after="156" w:afterLines="50" w:line="360" w:lineRule="exact"/>
        <w:jc w:val="center"/>
        <w:outlineLvl w:val="2"/>
        <w:rPr>
          <w:vanish/>
          <w:color w:val="000000" w:themeColor="text1"/>
          <w14:textFill>
            <w14:solidFill>
              <w14:schemeClr w14:val="tx1"/>
            </w14:solidFill>
          </w14:textFill>
        </w:rPr>
      </w:pPr>
      <w: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p>
    <w:bookmarkEnd w:id="21"/>
    <w:bookmarkEnd w:id="44"/>
    <w:bookmarkEnd w:id="45"/>
    <w:p>
      <w:pPr>
        <w:pStyle w:val="204"/>
        <w:numPr>
          <w:ilvl w:val="0"/>
          <w:numId w:val="0"/>
        </w:numPr>
        <w:jc w:val="both"/>
        <w:rPr>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9">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lvlRestart w:val="0"/>
      <w:isLgl/>
      <w:suff w:val="space"/>
      <w:lvlText w:val="表A.%2"/>
      <w:lvlJc w:val="center"/>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24"/>
  </w:num>
  <w:num w:numId="3">
    <w:abstractNumId w:val="28"/>
  </w:num>
  <w:num w:numId="4">
    <w:abstractNumId w:val="8"/>
  </w:num>
  <w:num w:numId="5">
    <w:abstractNumId w:val="10"/>
  </w:num>
  <w:num w:numId="6">
    <w:abstractNumId w:val="14"/>
  </w:num>
  <w:num w:numId="7">
    <w:abstractNumId w:val="21"/>
  </w:num>
  <w:num w:numId="8">
    <w:abstractNumId w:val="19"/>
  </w:num>
  <w:num w:numId="9">
    <w:abstractNumId w:val="16"/>
  </w:num>
  <w:num w:numId="10">
    <w:abstractNumId w:val="23"/>
  </w:num>
  <w:num w:numId="11">
    <w:abstractNumId w:val="1"/>
  </w:num>
  <w:num w:numId="12">
    <w:abstractNumId w:val="20"/>
  </w:num>
  <w:num w:numId="13">
    <w:abstractNumId w:val="15"/>
  </w:num>
  <w:num w:numId="14">
    <w:abstractNumId w:val="3"/>
  </w:num>
  <w:num w:numId="15">
    <w:abstractNumId w:val="12"/>
  </w:num>
  <w:num w:numId="16">
    <w:abstractNumId w:val="17"/>
  </w:num>
  <w:num w:numId="17">
    <w:abstractNumId w:val="11"/>
  </w:num>
  <w:num w:numId="18">
    <w:abstractNumId w:val="9"/>
  </w:num>
  <w:num w:numId="19">
    <w:abstractNumId w:val="27"/>
  </w:num>
  <w:num w:numId="20">
    <w:abstractNumId w:val="18"/>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1511FA"/>
    <w:rsid w:val="001524E9"/>
    <w:rsid w:val="00311FBF"/>
    <w:rsid w:val="00326251"/>
    <w:rsid w:val="00351A76"/>
    <w:rsid w:val="003638E2"/>
    <w:rsid w:val="00491B4B"/>
    <w:rsid w:val="004F3FC3"/>
    <w:rsid w:val="005B3D8E"/>
    <w:rsid w:val="006961EA"/>
    <w:rsid w:val="00725D73"/>
    <w:rsid w:val="007D3362"/>
    <w:rsid w:val="0094512A"/>
    <w:rsid w:val="00955160"/>
    <w:rsid w:val="00955340"/>
    <w:rsid w:val="009C2EE3"/>
    <w:rsid w:val="009D01A2"/>
    <w:rsid w:val="00A15977"/>
    <w:rsid w:val="00AE076C"/>
    <w:rsid w:val="00B765E5"/>
    <w:rsid w:val="00C1442C"/>
    <w:rsid w:val="00C728BC"/>
    <w:rsid w:val="00CE1FA7"/>
    <w:rsid w:val="00CF075E"/>
    <w:rsid w:val="00DF1ADC"/>
    <w:rsid w:val="00E04ED1"/>
    <w:rsid w:val="00E444F8"/>
    <w:rsid w:val="00E75CBD"/>
    <w:rsid w:val="00E81B8D"/>
    <w:rsid w:val="00FA35C7"/>
    <w:rsid w:val="00FC4910"/>
    <w:rsid w:val="5164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546</Words>
  <Characters>3117</Characters>
  <Lines>25</Lines>
  <Paragraphs>7</Paragraphs>
  <TotalTime>9</TotalTime>
  <ScaleCrop>false</ScaleCrop>
  <LinksUpToDate>false</LinksUpToDate>
  <CharactersWithSpaces>3656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2024-12-30T11:24:00Z</dcterms:created>
  <dc:creator>Administrator</dc:creator>
  <cp:lastModifiedBy>Administrator</cp:lastModifiedBy>
  <dcterms:modified xsi:type="dcterms:W3CDTF">2025-02-07T01:15:33Z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